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2cef789626d4fb099c046d1f1498bab47d1a81c"/>
    <w:p>
      <w:pPr>
        <w:pStyle w:val="Heading1"/>
      </w:pPr>
      <w:r>
        <w:t xml:space="preserve">Bizzy ClientFlow AI Kit — JV Launch Document</w:t>
      </w:r>
    </w:p>
    <w:p>
      <w:pPr>
        <w:pStyle w:val="FirstParagraph"/>
      </w:pPr>
      <w:r>
        <w:rPr>
          <w:bCs/>
          <w:b/>
        </w:rPr>
        <w:t xml:space="preserve">Vendor:</w:t>
      </w:r>
      <w:r>
        <w:t xml:space="preserve"> Bizzy Digital Tools </w:t>
      </w:r>
      <w:r>
        <w:rPr>
          <w:bCs/>
          <w:b/>
        </w:rPr>
        <w:t xml:space="preserve">Vendor Nickname:</w:t>
      </w:r>
      <w:r>
        <w:t xml:space="preserve"> bizzydig </w:t>
      </w:r>
      <w:r>
        <w:rPr>
          <w:bCs/>
          <w:b/>
        </w:rPr>
        <w:t xml:space="preserve">Platform:</w:t>
      </w:r>
      <w:r>
        <w:t xml:space="preserve"> ClickBank </w:t>
      </w:r>
      <w:r>
        <w:rPr>
          <w:bCs/>
          <w:b/>
        </w:rPr>
        <w:t xml:space="preserve">Recommended Public Launch Date:</w:t>
      </w:r>
      <w:r>
        <w:t xml:space="preserve"> June 25, 2026 </w:t>
      </w:r>
      <w:r>
        <w:rPr>
          <w:bCs/>
          <w:b/>
        </w:rPr>
        <w:t xml:space="preserve">Launch Type:</w:t>
      </w:r>
      <w:r>
        <w:t xml:space="preserve"> Affiliate Recruitment &amp; Exposure Campaign</w:t>
      </w:r>
    </w:p>
    <w:p>
      <w:r>
        <w:pict>
          <v:rect style="width:0;height:1.5pt" o:hralign="center" o:hrstd="t" o:hr="t"/>
        </w:pic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Bizzy ClientFlow AI Kit is a ClickBank-approved digital toolkit that helps freelancers, consultants, service providers, and small business owners write better outreach messages, follow-ups, proposals, and client onboarding materials using AI-assisted templates, prompts, and frameworks.</w:t>
      </w:r>
    </w:p>
    <w:p>
      <w:pPr>
        <w:pStyle w:val="BodyText"/>
      </w:pPr>
      <w:r>
        <w:t xml:space="preserve">This is a single front-end offer priced at $27, with a 70% affiliate commission. There are currently no upsells, OTOs, or recurring billing — making it a simple, low-friction offer to promote. The product is positioned as a practical productivity and communication toolkit, not a business opportunity, and makes no income or earnings claims.</w:t>
      </w:r>
    </w:p>
    <w:p>
      <w:pPr>
        <w:pStyle w:val="BodyText"/>
      </w:pPr>
      <w:r>
        <w:t xml:space="preserve">We are inviting a select group of affiliates and JV partners to help introduce this offer to their audiences around the recommended public launch date of </w:t>
      </w:r>
      <w:r>
        <w:rPr>
          <w:bCs/>
          <w:b/>
        </w:rPr>
        <w:t xml:space="preserve">June 25, 2026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product-overview"/>
    <w:p>
      <w:pPr>
        <w:pStyle w:val="Heading2"/>
      </w:pPr>
      <w:r>
        <w:t xml:space="preserve">Product Overview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Bizzy ClientFlow AI Kit </w:t>
      </w:r>
      <w:r>
        <w:rPr>
          <w:bCs/>
          <w:b/>
        </w:rPr>
        <w:t xml:space="preserve">Price:</w:t>
      </w:r>
      <w:r>
        <w:t xml:space="preserve"> $27 (one-time) </w:t>
      </w:r>
      <w:r>
        <w:rPr>
          <w:bCs/>
          <w:b/>
        </w:rPr>
        <w:t xml:space="preserve">Format:</w:t>
      </w:r>
      <w:r>
        <w:t xml:space="preserve"> Digital download </w:t>
      </w:r>
      <w:r>
        <w:rPr>
          <w:bCs/>
          <w:b/>
        </w:rPr>
        <w:t xml:space="preserve">Built For:</w:t>
      </w:r>
      <w:r>
        <w:t xml:space="preserve"> Freelancers, consultants, service providers, small business owners, agencies, and beginner AI service sellers</w:t>
      </w:r>
    </w:p>
    <w:p>
      <w:pPr>
        <w:pStyle w:val="BodyText"/>
      </w:pPr>
      <w:r>
        <w:t xml:space="preserve">The toolkit helps users create:</w:t>
      </w:r>
    </w:p>
    <w:p>
      <w:pPr>
        <w:pStyle w:val="Compact"/>
        <w:numPr>
          <w:ilvl w:val="0"/>
          <w:numId w:val="1001"/>
        </w:numPr>
      </w:pPr>
      <w:r>
        <w:t xml:space="preserve">Cold outreach messages</w:t>
      </w:r>
    </w:p>
    <w:p>
      <w:pPr>
        <w:pStyle w:val="Compact"/>
        <w:numPr>
          <w:ilvl w:val="0"/>
          <w:numId w:val="1001"/>
        </w:numPr>
      </w:pPr>
      <w:r>
        <w:t xml:space="preserve">Email scripts</w:t>
      </w:r>
    </w:p>
    <w:p>
      <w:pPr>
        <w:pStyle w:val="Compact"/>
        <w:numPr>
          <w:ilvl w:val="0"/>
          <w:numId w:val="1001"/>
        </w:numPr>
      </w:pPr>
      <w:r>
        <w:t xml:space="preserve">DM scripts</w:t>
      </w:r>
    </w:p>
    <w:p>
      <w:pPr>
        <w:pStyle w:val="Compact"/>
        <w:numPr>
          <w:ilvl w:val="0"/>
          <w:numId w:val="1001"/>
        </w:numPr>
      </w:pPr>
      <w:r>
        <w:t xml:space="preserve">Follow-up sequences</w:t>
      </w:r>
    </w:p>
    <w:p>
      <w:pPr>
        <w:pStyle w:val="Compact"/>
        <w:numPr>
          <w:ilvl w:val="0"/>
          <w:numId w:val="1001"/>
        </w:numPr>
      </w:pPr>
      <w:r>
        <w:t xml:space="preserve">Proposal templates</w:t>
      </w:r>
    </w:p>
    <w:p>
      <w:pPr>
        <w:pStyle w:val="Compact"/>
        <w:numPr>
          <w:ilvl w:val="0"/>
          <w:numId w:val="1001"/>
        </w:numPr>
      </w:pPr>
      <w:r>
        <w:t xml:space="preserve">Client onboarding materials</w:t>
      </w:r>
    </w:p>
    <w:p>
      <w:pPr>
        <w:pStyle w:val="Compact"/>
        <w:numPr>
          <w:ilvl w:val="0"/>
          <w:numId w:val="1001"/>
        </w:numPr>
      </w:pPr>
      <w:r>
        <w:t xml:space="preserve">Offer-building worksheets</w:t>
      </w:r>
    </w:p>
    <w:p>
      <w:pPr>
        <w:pStyle w:val="Compact"/>
        <w:numPr>
          <w:ilvl w:val="0"/>
          <w:numId w:val="1001"/>
        </w:numPr>
      </w:pPr>
      <w:r>
        <w:t xml:space="preserve">AI prompt packs</w:t>
      </w:r>
    </w:p>
    <w:p>
      <w:pPr>
        <w:pStyle w:val="Compact"/>
        <w:numPr>
          <w:ilvl w:val="0"/>
          <w:numId w:val="1001"/>
        </w:numPr>
      </w:pPr>
      <w:r>
        <w:t xml:space="preserve">Client communication systems</w:t>
      </w:r>
    </w:p>
    <w:p>
      <w:pPr>
        <w:pStyle w:val="Compact"/>
        <w:numPr>
          <w:ilvl w:val="0"/>
          <w:numId w:val="1001"/>
        </w:numPr>
      </w:pPr>
      <w:r>
        <w:t xml:space="preserve">Quick-start implementation plans</w:t>
      </w:r>
    </w:p>
    <w:p>
      <w:pPr>
        <w:pStyle w:val="FirstParagraph"/>
      </w:pPr>
      <w:r>
        <w:rPr>
          <w:bCs/>
          <w:b/>
        </w:rPr>
        <w:t xml:space="preserve">Main Promise:</w:t>
      </w:r>
      <w:r>
        <w:t xml:space="preserve"> Write better outreach, follow-ups, proposals, onboarding messages, and client communications faster using AI-assisted templates, prompts, scripts, and frameworks.</w:t>
      </w:r>
    </w:p>
    <w:p>
      <w:pPr>
        <w:pStyle w:val="BodyText"/>
      </w:pPr>
      <w:r>
        <w:rPr>
          <w:bCs/>
          <w:b/>
        </w:rPr>
        <w:t xml:space="preserve">Core Benefits:</w:t>
      </w:r>
    </w:p>
    <w:p>
      <w:pPr>
        <w:pStyle w:val="Compact"/>
        <w:numPr>
          <w:ilvl w:val="0"/>
          <w:numId w:val="1002"/>
        </w:numPr>
      </w:pPr>
      <w:r>
        <w:t xml:space="preserve">Save time on repetitive writing tasks</w:t>
      </w:r>
    </w:p>
    <w:p>
      <w:pPr>
        <w:pStyle w:val="Compact"/>
        <w:numPr>
          <w:ilvl w:val="0"/>
          <w:numId w:val="1002"/>
        </w:numPr>
      </w:pPr>
      <w:r>
        <w:t xml:space="preserve">Reduce friction in client communication</w:t>
      </w:r>
    </w:p>
    <w:p>
      <w:pPr>
        <w:pStyle w:val="Compact"/>
        <w:numPr>
          <w:ilvl w:val="0"/>
          <w:numId w:val="1002"/>
        </w:numPr>
      </w:pPr>
      <w:r>
        <w:t xml:space="preserve">Improve consistency across messaging</w:t>
      </w:r>
    </w:p>
    <w:p>
      <w:pPr>
        <w:pStyle w:val="Compact"/>
        <w:numPr>
          <w:ilvl w:val="0"/>
          <w:numId w:val="1002"/>
        </w:numPr>
      </w:pPr>
      <w:r>
        <w:t xml:space="preserve">Create outreach materials faster</w:t>
      </w:r>
    </w:p>
    <w:p>
      <w:pPr>
        <w:pStyle w:val="Compact"/>
        <w:numPr>
          <w:ilvl w:val="0"/>
          <w:numId w:val="1002"/>
        </w:numPr>
      </w:pPr>
      <w:r>
        <w:t xml:space="preserve">Build a repeatable communication workflow</w:t>
      </w:r>
    </w:p>
    <w:p>
      <w:pPr>
        <w:pStyle w:val="FirstParagraph"/>
      </w:pPr>
      <w:r>
        <w:t xml:space="preserve">This product makes </w:t>
      </w:r>
      <w:r>
        <w:rPr>
          <w:bCs/>
          <w:b/>
        </w:rPr>
        <w:t xml:space="preserve">no income claims</w:t>
      </w:r>
      <w:r>
        <w:t xml:space="preserve">, </w:t>
      </w:r>
      <w:r>
        <w:rPr>
          <w:bCs/>
          <w:b/>
        </w:rPr>
        <w:t xml:space="preserve">no business opportunity claims</w:t>
      </w:r>
      <w:r>
        <w:t xml:space="preserve">, and </w:t>
      </w:r>
      <w:r>
        <w:rPr>
          <w:bCs/>
          <w:b/>
        </w:rPr>
        <w:t xml:space="preserve">no guaranteed results</w:t>
      </w:r>
      <w:r>
        <w:t xml:space="preserve">. It is positioned strictly as a practical productivity and communication toolkit.</w:t>
      </w:r>
    </w:p>
    <w:p>
      <w:r>
        <w:pict>
          <v:rect style="width:0;height:1.5pt" o:hralign="center" o:hrstd="t" o:hr="t"/>
        </w:pict>
      </w:r>
    </w:p>
    <w:bookmarkEnd w:id="21"/>
    <w:bookmarkStart w:id="22" w:name="market-opportunity"/>
    <w:p>
      <w:pPr>
        <w:pStyle w:val="Heading2"/>
      </w:pPr>
      <w:r>
        <w:t xml:space="preserve">Market Opportunity</w:t>
      </w:r>
    </w:p>
    <w:p>
      <w:pPr>
        <w:pStyle w:val="FirstParagraph"/>
      </w:pPr>
      <w:r>
        <w:t xml:space="preserve">Freelancing, consulting, and small-scale service businesses continue to represent a large and active segment of online buyers. Within this segment, a consistent and recurring need exists: clear, professional communication with prospects and clients — from the first outreach message through proposal and onboarding.</w:t>
      </w:r>
    </w:p>
    <w:p>
      <w:pPr>
        <w:pStyle w:val="BodyText"/>
      </w:pPr>
      <w:r>
        <w:t xml:space="preserve">Bizzy ClientFlow AI Kit addresses this need directly with a practical, ready-to-use toolkit rather than a course or coaching program, which lowers the barrier to purchase and makes it straightforward to position to a broad range of audiences.</w:t>
      </w:r>
    </w:p>
    <w:p>
      <w:r>
        <w:pict>
          <v:rect style="width:0;height:1.5pt" o:hralign="center" o:hrstd="t" o:hr="t"/>
        </w:pict>
      </w:r>
    </w:p>
    <w:bookmarkEnd w:id="22"/>
    <w:bookmarkStart w:id="23" w:name="target-audience"/>
    <w:p>
      <w:pPr>
        <w:pStyle w:val="Heading2"/>
      </w:pPr>
      <w:r>
        <w:t xml:space="preserve">Target Audience</w:t>
      </w:r>
    </w:p>
    <w:tbl>
      <w:tblPr>
        <w:tblStyle w:val="Table"/>
        <w:tblW w:type="pct" w:w="5000"/>
        <w:jc w:val="star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This Fits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Freelancers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 faster, more consistent outreach and client communication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Want repeatable scripts for proposals and conversations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 Providers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Looking to streamline how they pitch and onboard clients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Business Owners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 simple templates for everyday business communication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Agencies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Want a consistent communication system across team members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Beginner AI Service Sellers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to AI-assisted service work and need a practical starting point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funnel-overview"/>
    <w:p>
      <w:pPr>
        <w:pStyle w:val="Heading2"/>
      </w:pPr>
      <w:r>
        <w:t xml:space="preserve">Funnel Overview</w:t>
      </w:r>
    </w:p>
    <w:p>
      <w:pPr>
        <w:pStyle w:val="FirstParagraph"/>
      </w:pPr>
      <w:r>
        <w:t xml:space="preserve">This is currently a </w:t>
      </w:r>
      <w:r>
        <w:rPr>
          <w:bCs/>
          <w:b/>
        </w:rPr>
        <w:t xml:space="preserve">front-end-only offer</w:t>
      </w:r>
      <w:r>
        <w:t xml:space="preserve">:</w:t>
      </w:r>
    </w:p>
    <w:tbl>
      <w:tblPr>
        <w:tblStyle w:val="Table"/>
        <w:tblW w:type="auto" w:w="0"/>
        <w:jc w:val="star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Funnel 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Front-End Product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Bizzy ClientFlow AI Kit — $27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Upsells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Recurring 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p>
      <w:pPr>
        <w:pStyle w:val="BodyText"/>
      </w:pPr>
      <w:r>
        <w:t xml:space="preserve">There is nothing additional to explain to your audience beyond the single front-end purchase decision. This simplicity is intentional and makes the offer easier to promote with confidence.</w:t>
      </w:r>
    </w:p>
    <w:p>
      <w:r>
        <w:pict>
          <v:rect style="width:0;height:1.5pt" o:hralign="center" o:hrstd="t" o:hr="t"/>
        </w:pict>
      </w:r>
    </w:p>
    <w:bookmarkEnd w:id="24"/>
    <w:bookmarkStart w:id="25" w:name="commission-details"/>
    <w:p>
      <w:pPr>
        <w:pStyle w:val="Heading2"/>
      </w:pPr>
      <w:r>
        <w:t xml:space="preserve">Commission Details</w:t>
      </w:r>
    </w:p>
    <w:tbl>
      <w:tblPr>
        <w:tblStyle w:val="Table"/>
        <w:tblW w:type="auto" w:w="0"/>
        <w:jc w:val="star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ClickBank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Front-End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Affiliate 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Approximate Commission Per Sale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~$18.90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Vendor Nickname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bizzydig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Cookie / 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ClickBank HopLink tracking</w:t>
            </w:r>
          </w:p>
        </w:tc>
      </w:tr>
    </w:tbl>
    <w:p>
      <w:pPr>
        <w:pStyle w:val="BodyText"/>
      </w:pPr>
      <w:r>
        <w:t xml:space="preserve">Affiliates generate their HopLink directly inside the ClickBank Marketplace (instructions below).</w:t>
      </w:r>
    </w:p>
    <w:p>
      <w:r>
        <w:pict>
          <v:rect style="width:0;height:1.5pt" o:hralign="center" o:hrstd="t" o:hr="t"/>
        </w:pict>
      </w:r>
    </w:p>
    <w:bookmarkEnd w:id="25"/>
    <w:bookmarkStart w:id="26" w:name="why-affiliates-should-promote-this-offer"/>
    <w:p>
      <w:pPr>
        <w:pStyle w:val="Heading2"/>
      </w:pPr>
      <w:r>
        <w:t xml:space="preserve">Why Affiliates Should Promote This Offer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Simple to explain.</w:t>
      </w:r>
      <w:r>
        <w:t xml:space="preserve"> One product, one price, no complicated funnel.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Generous commission.</w:t>
      </w:r>
      <w:r>
        <w:t xml:space="preserve"> 70% on a $27 offer is a strong payout rate for a front-end-only product.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Evergreen audience.</w:t>
      </w:r>
      <w:r>
        <w:t xml:space="preserve"> Freelancers and consultants are a consistently active buying segment.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Professional presentation.</w:t>
      </w:r>
      <w:r>
        <w:t xml:space="preserve"> Modern, SaaS-style branding rather than typical hype-driven IM design — easier to recommend to a discerning audience.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Compliance-friendly messaging.</w:t>
      </w:r>
      <w:r>
        <w:t xml:space="preserve"> No income claims or guarantees, which makes it easier to promote honestly and avoid platform compliance issues.</w:t>
      </w:r>
    </w:p>
    <w:p>
      <w:pPr>
        <w:pStyle w:val="Compact"/>
        <w:numPr>
          <w:ilvl w:val="0"/>
          <w:numId w:val="1003"/>
        </w:numPr>
      </w:pPr>
      <w:r>
        <w:rPr>
          <w:bCs/>
          <w:b/>
        </w:rPr>
        <w:t xml:space="preserve">Trusted payment platform.</w:t>
      </w:r>
      <w:r>
        <w:t xml:space="preserve"> Processed and tracked through ClickBank.</w:t>
      </w:r>
    </w:p>
    <w:p>
      <w:r>
        <w:pict>
          <v:rect style="width:0;height:1.5pt" o:hralign="center" o:hrstd="t" o:hr="t"/>
        </w:pict>
      </w:r>
    </w:p>
    <w:bookmarkEnd w:id="26"/>
    <w:bookmarkStart w:id="27" w:name="product-benefits-for-buyers"/>
    <w:p>
      <w:pPr>
        <w:pStyle w:val="Heading2"/>
      </w:pPr>
      <w:r>
        <w:t xml:space="preserve">Product Benefits (For Buyers)</w:t>
      </w:r>
    </w:p>
    <w:p>
      <w:pPr>
        <w:pStyle w:val="Compact"/>
        <w:numPr>
          <w:ilvl w:val="0"/>
          <w:numId w:val="1004"/>
        </w:numPr>
      </w:pPr>
      <w:r>
        <w:t xml:space="preserve">Save time on repetitive outreach and communication tasks</w:t>
      </w:r>
    </w:p>
    <w:p>
      <w:pPr>
        <w:pStyle w:val="Compact"/>
        <w:numPr>
          <w:ilvl w:val="0"/>
          <w:numId w:val="1004"/>
        </w:numPr>
      </w:pPr>
      <w:r>
        <w:t xml:space="preserve">Reduce friction when reaching out to new prospects</w:t>
      </w:r>
    </w:p>
    <w:p>
      <w:pPr>
        <w:pStyle w:val="Compact"/>
        <w:numPr>
          <w:ilvl w:val="0"/>
          <w:numId w:val="1004"/>
        </w:numPr>
      </w:pPr>
      <w:r>
        <w:t xml:space="preserve">Improve consistency across emails, DMs, and proposals</w:t>
      </w:r>
    </w:p>
    <w:p>
      <w:pPr>
        <w:pStyle w:val="Compact"/>
        <w:numPr>
          <w:ilvl w:val="0"/>
          <w:numId w:val="1004"/>
        </w:numPr>
      </w:pPr>
      <w:r>
        <w:t xml:space="preserve">Create outreach and onboarding materials faster</w:t>
      </w:r>
    </w:p>
    <w:p>
      <w:pPr>
        <w:pStyle w:val="Compact"/>
        <w:numPr>
          <w:ilvl w:val="0"/>
          <w:numId w:val="1004"/>
        </w:numPr>
      </w:pPr>
      <w:r>
        <w:t xml:space="preserve">Build a repeatable, organized communication workflow</w:t>
      </w:r>
    </w:p>
    <w:p>
      <w:r>
        <w:pict>
          <v:rect style="width:0;height:1.5pt" o:hralign="center" o:hrstd="t" o:hr="t"/>
        </w:pict>
      </w:r>
    </w:p>
    <w:bookmarkEnd w:id="27"/>
    <w:bookmarkStart w:id="28" w:name="affiliate-faq"/>
    <w:p>
      <w:pPr>
        <w:pStyle w:val="Heading2"/>
      </w:pPr>
      <w:r>
        <w:t xml:space="preserve">Affiliate FAQ</w:t>
      </w:r>
    </w:p>
    <w:p>
      <w:pPr>
        <w:pStyle w:val="FirstParagraph"/>
      </w:pPr>
      <w:r>
        <w:rPr>
          <w:bCs/>
          <w:b/>
        </w:rPr>
        <w:t xml:space="preserve">Is there a back-end funnel?</w:t>
      </w:r>
      <w:r>
        <w:t xml:space="preserve"> No. This is currently a front-end-only offer with no upsells, OTOs, or recurring billing.</w:t>
      </w:r>
    </w:p>
    <w:p>
      <w:pPr>
        <w:pStyle w:val="BodyText"/>
      </w:pPr>
      <w:r>
        <w:rPr>
          <w:bCs/>
          <w:b/>
        </w:rPr>
        <w:t xml:space="preserve">What is the commission rate?</w:t>
      </w:r>
      <w:r>
        <w:t xml:space="preserve"> 70% on the $27 front-end sale.</w:t>
      </w:r>
    </w:p>
    <w:p>
      <w:pPr>
        <w:pStyle w:val="BodyText"/>
      </w:pPr>
      <w:r>
        <w:rPr>
          <w:bCs/>
          <w:b/>
        </w:rPr>
        <w:t xml:space="preserve">Does the product make income claims?</w:t>
      </w:r>
      <w:r>
        <w:t xml:space="preserve"> No. It is positioned strictly as a productivity and communication toolkit. No income, earnings, or business-opportunity claims are made anywhere in the marketing materials.</w:t>
      </w:r>
    </w:p>
    <w:p>
      <w:pPr>
        <w:pStyle w:val="BodyText"/>
      </w:pPr>
      <w:r>
        <w:rPr>
          <w:bCs/>
          <w:b/>
        </w:rPr>
        <w:t xml:space="preserve">What is the refund policy?</w:t>
      </w:r>
      <w:r>
        <w:t xml:space="preserve"> This product follows ClickBank’s standard return policy, which is set at the platform level. Please refer to ClickBank’s official policy documentation for current terms.</w:t>
      </w:r>
    </w:p>
    <w:p>
      <w:pPr>
        <w:pStyle w:val="BodyText"/>
      </w:pPr>
      <w:r>
        <w:rPr>
          <w:bCs/>
          <w:b/>
        </w:rPr>
        <w:t xml:space="preserve">How do I get my HopLink?</w:t>
      </w:r>
      <w:r>
        <w:t xml:space="preserve"> Search the ClickBank Marketplace for Vendor ID </w:t>
      </w:r>
      <w:r>
        <w:rPr>
          <w:rStyle w:val="VerbatimChar"/>
        </w:rPr>
        <w:t xml:space="preserve">bizzydig</w:t>
      </w:r>
      <w:r>
        <w:t xml:space="preserve"> or the product name “Bizzy ClientFlow AI Kit,” then click “Promote” to generate your unique HopLink.</w:t>
      </w:r>
    </w:p>
    <w:p>
      <w:pPr>
        <w:pStyle w:val="BodyText"/>
      </w:pPr>
      <w:r>
        <w:rPr>
          <w:bCs/>
          <w:b/>
        </w:rPr>
        <w:t xml:space="preserve">Who do I contact with questions?</w:t>
      </w:r>
      <w:r>
        <w:t xml:space="preserve"> See the Contact Information section below.</w:t>
      </w:r>
    </w:p>
    <w:p>
      <w:r>
        <w:pict>
          <v:rect style="width:0;height:1.5pt" o:hralign="center" o:hrstd="t" o:hr="t"/>
        </w:pict>
      </w:r>
    </w:p>
    <w:bookmarkEnd w:id="28"/>
    <w:bookmarkStart w:id="29" w:name="promotional-angles"/>
    <w:p>
      <w:pPr>
        <w:pStyle w:val="Heading2"/>
      </w:pPr>
      <w:r>
        <w:t xml:space="preserve">Promotional Angles</w:t>
      </w:r>
    </w:p>
    <w:p>
      <w:pPr>
        <w:pStyle w:val="FirstParagraph"/>
      </w:pPr>
      <w:r>
        <w:t xml:space="preserve">A full list of 15+ promotional angles is available in the accompanying </w:t>
      </w:r>
      <w:r>
        <w:rPr>
          <w:rStyle w:val="VerbatimChar"/>
        </w:rPr>
        <w:t xml:space="preserve">promotional-angles.docx</w:t>
      </w:r>
      <w:r>
        <w:t xml:space="preserve"> document. A few examples:</w:t>
      </w:r>
    </w:p>
    <w:p>
      <w:pPr>
        <w:pStyle w:val="Compact"/>
        <w:numPr>
          <w:ilvl w:val="0"/>
          <w:numId w:val="1005"/>
        </w:numPr>
      </w:pPr>
      <w:r>
        <w:t xml:space="preserve">Freelancer Productivity</w:t>
      </w:r>
    </w:p>
    <w:p>
      <w:pPr>
        <w:pStyle w:val="Compact"/>
        <w:numPr>
          <w:ilvl w:val="0"/>
          <w:numId w:val="1005"/>
        </w:numPr>
      </w:pPr>
      <w:r>
        <w:t xml:space="preserve">AI Workflow Starter Kit</w:t>
      </w:r>
    </w:p>
    <w:p>
      <w:pPr>
        <w:pStyle w:val="Compact"/>
        <w:numPr>
          <w:ilvl w:val="0"/>
          <w:numId w:val="1005"/>
        </w:numPr>
      </w:pPr>
      <w:r>
        <w:t xml:space="preserve">Client Acquisition Support</w:t>
      </w:r>
    </w:p>
    <w:p>
      <w:pPr>
        <w:pStyle w:val="Compact"/>
        <w:numPr>
          <w:ilvl w:val="0"/>
          <w:numId w:val="1005"/>
        </w:numPr>
      </w:pPr>
      <w:r>
        <w:t xml:space="preserve">Proposal &amp; Offer Creation</w:t>
      </w:r>
    </w:p>
    <w:p>
      <w:pPr>
        <w:pStyle w:val="Compact"/>
        <w:numPr>
          <w:ilvl w:val="0"/>
          <w:numId w:val="1005"/>
        </w:numPr>
      </w:pPr>
      <w:r>
        <w:t xml:space="preserve">Communication Systems</w:t>
      </w:r>
    </w:p>
    <w:p>
      <w:pPr>
        <w:pStyle w:val="Compact"/>
        <w:numPr>
          <w:ilvl w:val="0"/>
          <w:numId w:val="1005"/>
        </w:numPr>
      </w:pPr>
      <w:r>
        <w:t xml:space="preserve">Agency Efficiency</w:t>
      </w:r>
    </w:p>
    <w:p>
      <w:r>
        <w:pict>
          <v:rect style="width:0;height:1.5pt" o:hralign="center" o:hrstd="t" o:hr="t"/>
        </w:pict>
      </w:r>
    </w:p>
    <w:bookmarkEnd w:id="29"/>
    <w:bookmarkStart w:id="30" w:name="swipe-suggestions"/>
    <w:p>
      <w:pPr>
        <w:pStyle w:val="Heading2"/>
      </w:pPr>
      <w:r>
        <w:t xml:space="preserve">Swipe Suggestions</w:t>
      </w:r>
    </w:p>
    <w:p>
      <w:pPr>
        <w:pStyle w:val="FirstParagraph"/>
      </w:pPr>
      <w:r>
        <w:t xml:space="preserve">Ready-to-use email and social media swipe copy is provided in two dedicated documents: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affiliate-email-swipes.docx</w:t>
      </w:r>
      <w:r>
        <w:t xml:space="preserve"> — 5 pre-launch emails, 5 launch emails, 3 last-chance emails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social-media-swipes.docx</w:t>
      </w:r>
      <w:r>
        <w:t xml:space="preserve"> — Facebook, LinkedIn, X, and Telegram post copy</w:t>
      </w:r>
    </w:p>
    <w:p>
      <w:pPr>
        <w:pStyle w:val="FirstParagraph"/>
      </w:pPr>
      <w:r>
        <w:t xml:space="preserve">Affiliates are encouraged to personalize swipes to match their own voice and audience.</w:t>
      </w:r>
    </w:p>
    <w:p>
      <w:r>
        <w:pict>
          <v:rect style="width:0;height:1.5pt" o:hralign="center" o:hrstd="t" o:hr="t"/>
        </w:pict>
      </w:r>
    </w:p>
    <w:bookmarkEnd w:id="30"/>
    <w:bookmarkStart w:id="36" w:name="affiliate-bonus-package"/>
    <w:p>
      <w:pPr>
        <w:pStyle w:val="Heading2"/>
      </w:pPr>
      <w:r>
        <w:t xml:space="preserve">Affiliate Bonus Package</w:t>
      </w:r>
    </w:p>
    <w:p>
      <w:pPr>
        <w:pStyle w:val="FirstParagraph"/>
      </w:pPr>
      <w:r>
        <w:t xml:space="preserve">To support affiliate promotions, five complete bonus assets are available for affiliates to offer their audience as an added incentive to purchase through their HopLink. Each bonus is provided as a separate, ready-to-use document.</w:t>
      </w:r>
    </w:p>
    <w:bookmarkStart w:id="31" w:name="bonus-1-ai-freelancer-prompt-vault"/>
    <w:p>
      <w:pPr>
        <w:pStyle w:val="Heading3"/>
      </w:pPr>
      <w:r>
        <w:t xml:space="preserve">Bonus 1: AI Freelancer Prompt Vault</w:t>
      </w:r>
    </w:p>
    <w:p>
      <w:pPr>
        <w:pStyle w:val="FirstParagraph"/>
      </w:pPr>
      <w:r>
        <w:rPr>
          <w:bCs/>
          <w:b/>
        </w:rPr>
        <w:t xml:space="preserve">Contents:</w:t>
      </w:r>
      <w:r>
        <w:t xml:space="preserve"> A curated set of AI prompts across five categories — outreach &amp; prospecting, discovery &amp; qualification, proposals &amp; pricing, client communication, and closing &amp; retention. </w:t>
      </w:r>
      <w:r>
        <w:rPr>
          <w:bCs/>
          <w:b/>
        </w:rPr>
        <w:t xml:space="preserve">Suggested Value:</w:t>
      </w:r>
      <w:r>
        <w:t xml:space="preserve"> $27 </w:t>
      </w:r>
      <w:r>
        <w:rPr>
          <w:bCs/>
          <w:b/>
        </w:rPr>
        <w:t xml:space="preserve">How Affiliates Can Use It:</w:t>
      </w:r>
      <w:r>
        <w:t xml:space="preserve"> Offer this as a “buy through my link” bonus to give buyers an immediate, practical resource they can pair with the main toolkit’s AI prompt packs.</w:t>
      </w:r>
    </w:p>
    <w:bookmarkEnd w:id="31"/>
    <w:bookmarkStart w:id="32" w:name="bonus-2-client-acquisition-checklist"/>
    <w:p>
      <w:pPr>
        <w:pStyle w:val="Heading3"/>
      </w:pPr>
      <w:r>
        <w:t xml:space="preserve">Bonus 2: Client Acquisition Checklist</w:t>
      </w:r>
    </w:p>
    <w:p>
      <w:pPr>
        <w:pStyle w:val="FirstParagraph"/>
      </w:pPr>
      <w:r>
        <w:rPr>
          <w:bCs/>
          <w:b/>
        </w:rPr>
        <w:t xml:space="preserve">Contents:</w:t>
      </w:r>
      <w:r>
        <w:t xml:space="preserve"> A six-phase, step-by-step checklist covering the full client acquisition journey — from identifying prospects through onboarding — plus a copy-and-paste tracking sheet template. </w:t>
      </w:r>
      <w:r>
        <w:rPr>
          <w:bCs/>
          <w:b/>
        </w:rPr>
        <w:t xml:space="preserve">Suggested Value:</w:t>
      </w:r>
      <w:r>
        <w:t xml:space="preserve"> $17 </w:t>
      </w:r>
      <w:r>
        <w:rPr>
          <w:bCs/>
          <w:b/>
        </w:rPr>
        <w:t xml:space="preserve">How Affiliates Can Use It:</w:t>
      </w:r>
      <w:r>
        <w:t xml:space="preserve"> Position this as a structure-building companion that helps buyers put the main toolkit’s templates into a repeatable process.</w:t>
      </w:r>
    </w:p>
    <w:bookmarkEnd w:id="32"/>
    <w:bookmarkStart w:id="33" w:name="bonus-3-proposal-template-collection"/>
    <w:p>
      <w:pPr>
        <w:pStyle w:val="Heading3"/>
      </w:pPr>
      <w:r>
        <w:t xml:space="preserve">Bonus 3: Proposal Template Collection</w:t>
      </w:r>
    </w:p>
    <w:p>
      <w:pPr>
        <w:pStyle w:val="FirstParagraph"/>
      </w:pPr>
      <w:r>
        <w:rPr>
          <w:bCs/>
          <w:b/>
        </w:rPr>
        <w:t xml:space="preserve">Contents:</w:t>
      </w:r>
      <w:r>
        <w:t xml:space="preserve"> Four ready-to-adapt proposal formats — project-based, retainer/ongoing services, consultation/audit, and a short-form quick quote — plus usage tips. </w:t>
      </w:r>
      <w:r>
        <w:rPr>
          <w:bCs/>
          <w:b/>
        </w:rPr>
        <w:t xml:space="preserve">Suggested Value:</w:t>
      </w:r>
      <w:r>
        <w:t xml:space="preserve"> $19 </w:t>
      </w:r>
      <w:r>
        <w:rPr>
          <w:bCs/>
          <w:b/>
        </w:rPr>
        <w:t xml:space="preserve">How Affiliates Can Use It:</w:t>
      </w:r>
      <w:r>
        <w:t xml:space="preserve"> Highlight this bonus specifically to audiences who struggle with pricing or structuring offers, as a direct complement to the main product’s proposal templates.</w:t>
      </w:r>
    </w:p>
    <w:bookmarkEnd w:id="33"/>
    <w:bookmarkStart w:id="34" w:name="bonus-4-follow-up-swipe-pack"/>
    <w:p>
      <w:pPr>
        <w:pStyle w:val="Heading3"/>
      </w:pPr>
      <w:r>
        <w:t xml:space="preserve">Bonus 4: Follow-Up Swipe Pack</w:t>
      </w:r>
    </w:p>
    <w:p>
      <w:pPr>
        <w:pStyle w:val="FirstParagraph"/>
      </w:pPr>
      <w:r>
        <w:rPr>
          <w:bCs/>
          <w:b/>
        </w:rPr>
        <w:t xml:space="preserve">Contents:</w:t>
      </w:r>
      <w:r>
        <w:t xml:space="preserve"> Ready-to-send follow-up messages organized into four situations — initial outreach follow-ups, proposal follow-ups, project check-ins, and re-engaging cold or past leads. </w:t>
      </w:r>
      <w:r>
        <w:rPr>
          <w:bCs/>
          <w:b/>
        </w:rPr>
        <w:t xml:space="preserve">Suggested Value:</w:t>
      </w:r>
      <w:r>
        <w:t xml:space="preserve"> $15 </w:t>
      </w:r>
      <w:r>
        <w:rPr>
          <w:bCs/>
          <w:b/>
        </w:rPr>
        <w:t xml:space="preserve">How Affiliates Can Use It:</w:t>
      </w:r>
      <w:r>
        <w:t xml:space="preserve"> Frame this as the natural next step after outreach — useful for affiliates promoting to audiences who struggle with staying in touch with leads.</w:t>
      </w:r>
    </w:p>
    <w:bookmarkEnd w:id="34"/>
    <w:bookmarkStart w:id="35" w:name="bonus-5-client-onboarding-starter-kit"/>
    <w:p>
      <w:pPr>
        <w:pStyle w:val="Heading3"/>
      </w:pPr>
      <w:r>
        <w:t xml:space="preserve">Bonus 5: Client Onboarding Starter Kit</w:t>
      </w:r>
    </w:p>
    <w:p>
      <w:pPr>
        <w:pStyle w:val="FirstParagraph"/>
      </w:pPr>
      <w:r>
        <w:rPr>
          <w:bCs/>
          <w:b/>
        </w:rPr>
        <w:t xml:space="preserve">Contents:</w:t>
      </w:r>
      <w:r>
        <w:t xml:space="preserve"> A welcome message template, client intake form, six-point onboarding checklist, and a client-facing expectations document. </w:t>
      </w:r>
      <w:r>
        <w:rPr>
          <w:bCs/>
          <w:b/>
        </w:rPr>
        <w:t xml:space="preserve">Suggested Value:</w:t>
      </w:r>
      <w:r>
        <w:t xml:space="preserve"> $19 </w:t>
      </w:r>
      <w:r>
        <w:rPr>
          <w:bCs/>
          <w:b/>
        </w:rPr>
        <w:t xml:space="preserve">How Affiliates Can Use It:</w:t>
      </w:r>
      <w:r>
        <w:t xml:space="preserve"> Position this as the final piece of the puzzle — once a buyer lands a client using the main toolkit, this bonus helps them onboard professionally from day one.</w:t>
      </w:r>
    </w:p>
    <w:p>
      <w:pPr>
        <w:pStyle w:val="BodyText"/>
      </w:pPr>
      <w:r>
        <w:rPr>
          <w:bCs/>
          <w:b/>
        </w:rPr>
        <w:t xml:space="preserve">Total Suggested Bonus Value:</w:t>
      </w:r>
      <w:r>
        <w:t xml:space="preserve"> $97</w:t>
      </w:r>
    </w:p>
    <w:p>
      <w:pPr>
        <w:pStyle w:val="BodyText"/>
      </w:pPr>
      <w:r>
        <w:t xml:space="preserve">All five bonuses make no income, earnings, or results claims and are positioned consistently with the main product as practical, ready-to-use resources.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Bizzy Digital Tools </w:t>
      </w:r>
      <w:r>
        <w:rPr>
          <w:bCs/>
          <w:b/>
        </w:rPr>
        <w:t xml:space="preserve">Product:</w:t>
      </w:r>
      <w:r>
        <w:t xml:space="preserve"> Bizzy ClientFlow AI Kit </w:t>
      </w:r>
      <w:r>
        <w:rPr>
          <w:bCs/>
          <w:b/>
        </w:rPr>
        <w:t xml:space="preserve">Vendor Nickname:</w:t>
      </w:r>
      <w:r>
        <w:t xml:space="preserve"> bizzydig </w:t>
      </w:r>
      <w:r>
        <w:rPr>
          <w:bCs/>
          <w:b/>
        </w:rPr>
        <w:t xml:space="preserve">Affiliate Inquiries:</w:t>
      </w:r>
      <w:r>
        <w:t xml:space="preserve"> support@bizzydigitaltools.com </w:t>
      </w:r>
      <w:r>
        <w:rPr>
          <w:bCs/>
          <w:b/>
        </w:rPr>
        <w:t xml:space="preserve">JV / Launch Manager:</w:t>
      </w:r>
      <w:r>
        <w:t xml:space="preserve"> support@bizzydigitaltools.com</w:t>
      </w:r>
    </w:p>
    <w:p>
      <w:pPr>
        <w:pStyle w:val="BodyText"/>
      </w:pPr>
      <w:r>
        <w:t xml:space="preserve">We’re happy to answer any questions about the offer, funnel, or promotional materials. Reach out any time before or during the launch window.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Bizzy Digital Tools — Bizzy ClientFlow AI Kit Affiliate Program</w:t>
      </w:r>
      <w:r>
        <w:t xml:space="preserve"> </w:t>
      </w:r>
      <w:r>
        <w:rPr>
          <w:iCs/>
          <w:i/>
        </w:rPr>
        <w:t xml:space="preserve">This document makes no income, earnings, or business-opportunity claims. All figures referencing commission are based on the stated $27 front-end price and 70% commission rate.</w:t>
      </w:r>
    </w:p>
    <w:bookmarkEnd w:id="37"/>
    <w:bookmarkEnd w:id="38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2026-06-17T17:55:43Z</dcterms:created>
  <dcterms:modified xsi:type="dcterms:W3CDTF">2026-06-17T17:55:43Z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