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Xaaa8c5c1e4c5bca89eb252db0977d97839b88bf"/>
    <w:p>
      <w:pPr>
        <w:pStyle w:val="Heading1"/>
      </w:pPr>
      <w:r>
        <w:t xml:space="preserve">Affiliate Promotional Angles — Bizzy ClientFlow AI Kit</w:t>
      </w:r>
    </w:p>
    <w:p>
      <w:pPr>
        <w:pStyle w:val="FirstParagraph"/>
      </w:pPr>
      <w:r>
        <w:t xml:space="preserve">Use these angles to shape emails, social posts, blog content, or video scripts. Each angle highlights a different aspect of the toolkit — pick the ones that best match your audience. All angles avoid income claims and unrealistic promises.</w:t>
      </w:r>
    </w:p>
    <w:p>
      <w:r>
        <w:pict>
          <v:rect style="width:0;height:1.5pt" o:hralign="center" o:hrstd="t" o:hr="t"/>
        </w:pict>
      </w:r>
    </w:p>
    <w:bookmarkStart w:id="20" w:name="freelancer-productivity"/>
    <w:p>
      <w:pPr>
        <w:pStyle w:val="Heading3"/>
      </w:pPr>
      <w:r>
        <w:t xml:space="preserve">1. Freelancer Productivity</w:t>
      </w:r>
    </w:p>
    <w:p>
      <w:pPr>
        <w:pStyle w:val="FirstParagraph"/>
      </w:pPr>
      <w:r>
        <w:t xml:space="preserve">Position the kit as a time-saver for freelancers who handle their own outreach, follow-ups, and client communication without a support team.</w:t>
      </w:r>
    </w:p>
    <w:bookmarkEnd w:id="20"/>
    <w:bookmarkStart w:id="21" w:name="ai-workflow-starter-kit"/>
    <w:p>
      <w:pPr>
        <w:pStyle w:val="Heading3"/>
      </w:pPr>
      <w:r>
        <w:t xml:space="preserve">2. AI Workflow Starter Kit</w:t>
      </w:r>
    </w:p>
    <w:p>
      <w:pPr>
        <w:pStyle w:val="FirstParagraph"/>
      </w:pPr>
      <w:r>
        <w:t xml:space="preserve">Frame it as a practical, beginner-friendly way to start incorporating AI into everyday client communication — no technical skill required.</w:t>
      </w:r>
    </w:p>
    <w:bookmarkEnd w:id="21"/>
    <w:bookmarkStart w:id="22" w:name="client-acquisition-support"/>
    <w:p>
      <w:pPr>
        <w:pStyle w:val="Heading3"/>
      </w:pPr>
      <w:r>
        <w:t xml:space="preserve">3. Client Acquisition Support</w:t>
      </w:r>
    </w:p>
    <w:p>
      <w:pPr>
        <w:pStyle w:val="FirstParagraph"/>
      </w:pPr>
      <w:r>
        <w:t xml:space="preserve">Highlight the outreach scripts and follow-up sequences as tools that support the early stages of finding and contacting new clients.</w:t>
      </w:r>
    </w:p>
    <w:bookmarkEnd w:id="22"/>
    <w:bookmarkStart w:id="23" w:name="proposal-offer-creation"/>
    <w:p>
      <w:pPr>
        <w:pStyle w:val="Heading3"/>
      </w:pPr>
      <w:r>
        <w:t xml:space="preserve">4. Proposal &amp; Offer Creation</w:t>
      </w:r>
    </w:p>
    <w:p>
      <w:pPr>
        <w:pStyle w:val="FirstParagraph"/>
      </w:pPr>
      <w:r>
        <w:t xml:space="preserve">Focus specifically on the proposal templates and offer-building worksheets — useful for anyone who struggles to put an offer into clear words.</w:t>
      </w:r>
    </w:p>
    <w:bookmarkEnd w:id="23"/>
    <w:bookmarkStart w:id="24" w:name="communication-systems"/>
    <w:p>
      <w:pPr>
        <w:pStyle w:val="Heading3"/>
      </w:pPr>
      <w:r>
        <w:t xml:space="preserve">5. Communication Systems</w:t>
      </w:r>
    </w:p>
    <w:p>
      <w:pPr>
        <w:pStyle w:val="FirstParagraph"/>
      </w:pPr>
      <w:r>
        <w:t xml:space="preserve">Position the toolkit as a way to bring structure and consistency to client communication, rather than reinventing messages each time.</w:t>
      </w:r>
    </w:p>
    <w:bookmarkEnd w:id="24"/>
    <w:bookmarkStart w:id="25" w:name="agency-efficiency"/>
    <w:p>
      <w:pPr>
        <w:pStyle w:val="Heading3"/>
      </w:pPr>
      <w:r>
        <w:t xml:space="preserve">6. Agency Efficiency</w:t>
      </w:r>
    </w:p>
    <w:p>
      <w:pPr>
        <w:pStyle w:val="FirstParagraph"/>
      </w:pPr>
      <w:r>
        <w:t xml:space="preserve">Frame it as a way for small teams or agencies to standardize how everyone communicates with clients, improving consistency across the team.</w:t>
      </w:r>
    </w:p>
    <w:bookmarkEnd w:id="25"/>
    <w:bookmarkStart w:id="26" w:name="getting-started-with-ai-services"/>
    <w:p>
      <w:pPr>
        <w:pStyle w:val="Heading3"/>
      </w:pPr>
      <w:r>
        <w:t xml:space="preserve">7. Getting Started With AI Services</w:t>
      </w:r>
    </w:p>
    <w:p>
      <w:pPr>
        <w:pStyle w:val="FirstParagraph"/>
      </w:pPr>
      <w:r>
        <w:t xml:space="preserve">A practical entry point for people exploring AI-assisted service work who need ready-made templates and prompts to begin.</w:t>
      </w:r>
    </w:p>
    <w:bookmarkEnd w:id="26"/>
    <w:bookmarkStart w:id="27" w:name="time-saving-for-solo-service-providers"/>
    <w:p>
      <w:pPr>
        <w:pStyle w:val="Heading3"/>
      </w:pPr>
      <w:r>
        <w:t xml:space="preserve">8. Time-Saving for Solo Service Providers</w:t>
      </w:r>
    </w:p>
    <w:p>
      <w:pPr>
        <w:pStyle w:val="FirstParagraph"/>
      </w:pPr>
      <w:r>
        <w:t xml:space="preserve">Emphasize the time saved on writing repetitive outreach and follow-up messages — time that can be redirected toward client work.</w:t>
      </w:r>
    </w:p>
    <w:bookmarkEnd w:id="27"/>
    <w:bookmarkStart w:id="28" w:name="onboarding-experience-improvement"/>
    <w:p>
      <w:pPr>
        <w:pStyle w:val="Heading3"/>
      </w:pPr>
      <w:r>
        <w:t xml:space="preserve">9. Onboarding Experience Improvement</w:t>
      </w:r>
    </w:p>
    <w:p>
      <w:pPr>
        <w:pStyle w:val="FirstParagraph"/>
      </w:pPr>
      <w:r>
        <w:t xml:space="preserve">Highlight the client onboarding materials as a way to create a more professional first impression with new clients.</w:t>
      </w:r>
    </w:p>
    <w:bookmarkEnd w:id="28"/>
    <w:bookmarkStart w:id="29" w:name="cold-outreach-made-simpler"/>
    <w:p>
      <w:pPr>
        <w:pStyle w:val="Heading3"/>
      </w:pPr>
      <w:r>
        <w:t xml:space="preserve">10. Cold Outreach Made Simpler</w:t>
      </w:r>
    </w:p>
    <w:p>
      <w:pPr>
        <w:pStyle w:val="FirstParagraph"/>
      </w:pPr>
      <w:r>
        <w:t xml:space="preserve">Focus on the cold outreach and DM scripts for affiliates whose audience is actively trying to find new clients or customers.</w:t>
      </w:r>
    </w:p>
    <w:bookmarkEnd w:id="29"/>
    <w:bookmarkStart w:id="30" w:name="follow-up-consistency"/>
    <w:p>
      <w:pPr>
        <w:pStyle w:val="Heading3"/>
      </w:pPr>
      <w:r>
        <w:t xml:space="preserve">11. Follow-Up Consistency</w:t>
      </w:r>
    </w:p>
    <w:p>
      <w:pPr>
        <w:pStyle w:val="FirstParagraph"/>
      </w:pPr>
      <w:r>
        <w:t xml:space="preserve">Position the follow-up sequences as a solution for the common problem of losing touch with leads after the first message.</w:t>
      </w:r>
    </w:p>
    <w:bookmarkEnd w:id="30"/>
    <w:bookmarkStart w:id="31" w:name="ai-prompt-library-angle"/>
    <w:p>
      <w:pPr>
        <w:pStyle w:val="Heading3"/>
      </w:pPr>
      <w:r>
        <w:t xml:space="preserve">12. AI Prompt Library Angle</w:t>
      </w:r>
    </w:p>
    <w:p>
      <w:pPr>
        <w:pStyle w:val="FirstParagraph"/>
      </w:pPr>
      <w:r>
        <w:t xml:space="preserve">Frame the AI prompt packs as a standalone resource — a ready-made library of prompts for client communication tasks.</w:t>
      </w:r>
    </w:p>
    <w:bookmarkEnd w:id="31"/>
    <w:bookmarkStart w:id="32" w:name="quick-start-implementation"/>
    <w:p>
      <w:pPr>
        <w:pStyle w:val="Heading3"/>
      </w:pPr>
      <w:r>
        <w:t xml:space="preserve">13. Quick-Start Implementation</w:t>
      </w:r>
    </w:p>
    <w:p>
      <w:pPr>
        <w:pStyle w:val="FirstParagraph"/>
      </w:pPr>
      <w:r>
        <w:t xml:space="preserve">Highlight the quick-start implementation plans for audiences who want to act immediately rather than plan extensively.</w:t>
      </w:r>
    </w:p>
    <w:bookmarkEnd w:id="32"/>
    <w:bookmarkStart w:id="33" w:name="budget-friendly-toolkit"/>
    <w:p>
      <w:pPr>
        <w:pStyle w:val="Heading3"/>
      </w:pPr>
      <w:r>
        <w:t xml:space="preserve">14. Budget-Friendly Toolkit</w:t>
      </w:r>
    </w:p>
    <w:p>
      <w:pPr>
        <w:pStyle w:val="FirstParagraph"/>
      </w:pPr>
      <w:r>
        <w:t xml:space="preserve">Position the $27 price point as an accessible, low-risk way to upgrade client communication materials without a large investment.</w:t>
      </w:r>
    </w:p>
    <w:bookmarkEnd w:id="33"/>
    <w:bookmarkStart w:id="34" w:name="practical-alternative-to-courses"/>
    <w:p>
      <w:pPr>
        <w:pStyle w:val="Heading3"/>
      </w:pPr>
      <w:r>
        <w:t xml:space="preserve">15. Practical Alternative to Courses</w:t>
      </w:r>
    </w:p>
    <w:p>
      <w:pPr>
        <w:pStyle w:val="FirstParagraph"/>
      </w:pPr>
      <w:r>
        <w:t xml:space="preserve">Frame the kit as a hands-on toolkit rather than a course — for people who want usable templates instead of hours of training content.</w:t>
      </w:r>
    </w:p>
    <w:bookmarkEnd w:id="34"/>
    <w:bookmarkStart w:id="35" w:name="small-business-communication-upgrade"/>
    <w:p>
      <w:pPr>
        <w:pStyle w:val="Heading3"/>
      </w:pPr>
      <w:r>
        <w:t xml:space="preserve">16. Small Business Communication Upgrade</w:t>
      </w:r>
    </w:p>
    <w:p>
      <w:pPr>
        <w:pStyle w:val="FirstParagraph"/>
      </w:pPr>
      <w:r>
        <w:t xml:space="preserve">Position the toolkit for small business owners who handle their own client-facing communication without a dedicated marketing team.</w:t>
      </w:r>
    </w:p>
    <w:bookmarkEnd w:id="35"/>
    <w:bookmarkStart w:id="36" w:name="beginner-ai-adopter-angle"/>
    <w:p>
      <w:pPr>
        <w:pStyle w:val="Heading3"/>
      </w:pPr>
      <w:r>
        <w:t xml:space="preserve">17. Beginner AI Adopter Angle</w:t>
      </w:r>
    </w:p>
    <w:p>
      <w:pPr>
        <w:pStyle w:val="FirstParagraph"/>
      </w:pPr>
      <w:r>
        <w:t xml:space="preserve">Target audiences who are curious about using AI tools but don’t know where to start — the prompt packs and templates offer a guided entry point.</w:t>
      </w:r>
    </w:p>
    <w:bookmarkEnd w:id="36"/>
    <w:bookmarkStart w:id="37" w:name="done-for-you-templates-angle"/>
    <w:p>
      <w:pPr>
        <w:pStyle w:val="Heading3"/>
      </w:pPr>
      <w:r>
        <w:t xml:space="preserve">18. Done-For-You Templates Angle</w:t>
      </w:r>
    </w:p>
    <w:p>
      <w:pPr>
        <w:pStyle w:val="FirstParagraph"/>
      </w:pPr>
      <w:r>
        <w:t xml:space="preserve">Emphasize that the templates are ready to adapt and use immediately, rather than requiring users to write everything from scratch.</w:t>
      </w:r>
    </w:p>
    <w:p>
      <w:r>
        <w:pict>
          <v:rect style="width:0;height:1.5pt" o:hralign="center" o:hrstd="t" o:hr="t"/>
        </w:pict>
      </w:r>
    </w:p>
    <w:bookmarkEnd w:id="37"/>
    <w:bookmarkStart w:id="38" w:name="notes-for-affiliates"/>
    <w:p>
      <w:pPr>
        <w:pStyle w:val="Heading2"/>
      </w:pPr>
      <w:r>
        <w:t xml:space="preserve">Notes for Affiliates</w:t>
      </w:r>
    </w:p>
    <w:p>
      <w:pPr>
        <w:pStyle w:val="Compact"/>
        <w:numPr>
          <w:ilvl w:val="0"/>
          <w:numId w:val="1001"/>
        </w:numPr>
      </w:pPr>
      <w:r>
        <w:t xml:space="preserve">All angles should be communicated honestly, without implying guaranteed outcomes or income.</w:t>
      </w:r>
    </w:p>
    <w:p>
      <w:pPr>
        <w:pStyle w:val="Compact"/>
        <w:numPr>
          <w:ilvl w:val="0"/>
          <w:numId w:val="1001"/>
        </w:numPr>
      </w:pPr>
      <w:r>
        <w:t xml:space="preserve">Mix and match angles across your pre-launch, launch, and last-chance promotions to keep messaging varied.</w:t>
      </w:r>
    </w:p>
    <w:p>
      <w:pPr>
        <w:pStyle w:val="Compact"/>
        <w:numPr>
          <w:ilvl w:val="0"/>
          <w:numId w:val="1001"/>
        </w:numPr>
      </w:pPr>
      <w:r>
        <w:t xml:space="preserve">Tailor language to match your audience’s familiarity with AI tools — some angles work better for AI-savvy audiences, others for complete beginners.</w:t>
      </w:r>
    </w:p>
    <w:p>
      <w:pPr>
        <w:pStyle w:val="FirstParagraph"/>
      </w:pPr>
      <w:r>
        <w:rPr>
          <w:iCs/>
          <w:i/>
        </w:rPr>
        <w:t xml:space="preserve">This document makes no income, earnings, or business-opportunity claims. All angles are intended to honestly represent Bizzy ClientFlow AI Kit as a productivity and communication toolkit.</w:t>
      </w:r>
    </w:p>
    <w:bookmarkEnd w:id="38"/>
    <w:bookmarkEnd w:id="39"/>
    <w:sectPr>
      <w:pgSz w:h="15840" w:orient="portrait" w:w="12240"/>
      <w:pgMar w:bottom="1440" w:footer="708" w:gutter="0" w:header="708" w:left="1350" w:right="135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compatSetting w:name="compatibilityMode" w:uri="http://schemas.microsoft.com/office/word" w:val="15"/>
  </w:compat>
  <w:rsids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Title" w:type="paragraph">
    <w:name w:val="Title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E3A8A"/>
      <w:sz w:val="56"/>
      <w:szCs w:val="56"/>
    </w:rPr>
  </w:style>
  <w:style w:styleId="Heading1" w:type="paragraph">
    <w:name w:val="Heading 1"/>
    <w:basedOn w:val="Normal"/>
    <w:next w:val="Normal"/>
    <w:qFormat/>
    <w:pPr>
      <w:pBdr>
        <w:bottom w:color="2563EB" w:space="4" w:sz="6" w:val="single"/>
      </w:pBdr>
      <w:spacing w:after="200" w:before="360"/>
      <w:outlineLvl w:val="0"/>
    </w:pPr>
    <w:rPr>
      <w:rFonts w:ascii="Arial" w:cs="Arial" w:eastAsia="Arial" w:hAnsi="Arial"/>
      <w:b/>
      <w:bCs/>
      <w:color w:val="1E3A8A"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styleId="Heading3" w:type="paragraph">
    <w:name w:val="Heading 3"/>
    <w:basedOn w:val="Normal"/>
    <w:next w:val="Normal"/>
    <w:qFormat/>
    <w:pPr>
      <w:spacing w:after="100" w:before="220"/>
      <w:outlineLvl w:val="2"/>
    </w:pPr>
    <w:rPr>
      <w:rFonts w:ascii="Arial" w:cs="Arial" w:eastAsia="Arial" w:hAnsi="Arial"/>
      <w:b/>
      <w:bCs/>
      <w:color w:val="0F172A"/>
      <w:sz w:val="23"/>
      <w:szCs w:val="23"/>
    </w:rPr>
  </w:style>
  <w:style w:styleId="Normal" w:type="paragraph">
    <w:name w:val="Normal"/>
    <w:pPr>
      <w:spacing w:after="160" w:line="288"/>
    </w:pPr>
    <w:rPr>
      <w:rFonts w:ascii="Arial" w:cs="Arial" w:eastAsia="Arial" w:hAnsi="Arial"/>
      <w:color w:val="1F2937"/>
      <w:sz w:val="22"/>
      <w:szCs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Relationship Type="http://schemas.openxmlformats.org/officeDocument/2006/relationships/footnotes" Id="rId7" Target="footnotes.xml"/><Relationship Type="http://schemas.openxmlformats.org/officeDocument/2006/relationships/comments" Id="rId8" Target="comments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2026-06-17T17:55:46Z</dcterms:created>
  <dcterms:modified xsi:type="dcterms:W3CDTF">2026-06-17T17:55:46Z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